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仿宋_GB2312" w:hAnsi="仿宋_GB2312" w:eastAsia="仿宋_GB2312" w:cs="仿宋_GB2312"/>
          <w:sz w:val="32"/>
          <w:szCs w:val="32"/>
        </w:rPr>
        <w:t>附件1</w:t>
      </w:r>
    </w:p>
    <w:p>
      <w:pPr>
        <w:spacing w:line="560" w:lineRule="exact"/>
        <w:jc w:val="center"/>
        <w:rPr>
          <w:rFonts w:ascii="仿宋_GB2312" w:hAnsi="仿宋_GB2312" w:eastAsia="仿宋_GB2312" w:cs="仿宋_GB2312"/>
          <w:sz w:val="30"/>
          <w:szCs w:val="30"/>
        </w:rPr>
      </w:pPr>
      <w:r>
        <w:rPr>
          <w:rFonts w:hint="eastAsia" w:ascii="方正小标宋_GBK" w:hAnsi="方正小标宋_GBK" w:eastAsia="方正小标宋_GBK" w:cs="方正小标宋_GBK"/>
          <w:sz w:val="36"/>
          <w:szCs w:val="36"/>
        </w:rPr>
        <w:t>融资产品介绍</w:t>
      </w:r>
    </w:p>
    <w:p>
      <w:pPr>
        <w:spacing w:line="560" w:lineRule="exact"/>
        <w:rPr>
          <w:rFonts w:ascii="仿宋_GB2312" w:hAnsi="仿宋_GB2312" w:eastAsia="仿宋_GB2312" w:cs="仿宋_GB2312"/>
          <w:sz w:val="30"/>
          <w:szCs w:val="30"/>
        </w:rPr>
      </w:pP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一、阳光政采贷</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（一）产品简介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根据政府采购中标通知书，以政府财政支付资金为主要还款来源，通过封闭回款路径等方式，为中标供应商提供的流动资金贷款产品。</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（二）服务对象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省内成立1年（含）以上，非首次中标省级或市级政府采购项目，无违法违规行为和不良信用记录的文化企业。</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（三）贷款额度</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不超过1000万元，最高可达中标</w:t>
      </w:r>
      <w:r>
        <w:rPr>
          <w:rFonts w:hint="eastAsia" w:ascii="仿宋_GB2312" w:hAnsi="仿宋_GB2312" w:eastAsia="仿宋_GB2312" w:cs="仿宋_GB2312"/>
          <w:sz w:val="32"/>
          <w:szCs w:val="32"/>
        </w:rPr>
        <w:t>合同</w:t>
      </w:r>
      <w:r>
        <w:rPr>
          <w:rFonts w:ascii="仿宋_GB2312" w:hAnsi="仿宋_GB2312" w:eastAsia="仿宋_GB2312" w:cs="仿宋_GB2312"/>
          <w:sz w:val="32"/>
          <w:szCs w:val="32"/>
        </w:rPr>
        <w:t>金额的80%</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楷体_GB2312" w:cs="仿宋_GB2312"/>
          <w:sz w:val="32"/>
          <w:szCs w:val="32"/>
        </w:rPr>
      </w:pPr>
      <w:r>
        <w:rPr>
          <w:rFonts w:hint="eastAsia" w:ascii="楷体_GB2312" w:hAnsi="楷体_GB2312" w:eastAsia="楷体_GB2312" w:cs="楷体_GB2312"/>
          <w:sz w:val="32"/>
          <w:szCs w:val="32"/>
        </w:rPr>
        <w:t>（四）产品特色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1.申请、放款、还款等全流程线上操作；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无</w:t>
      </w:r>
      <w:r>
        <w:rPr>
          <w:rFonts w:hint="eastAsia" w:ascii="仿宋_GB2312" w:hAnsi="仿宋_GB2312" w:eastAsia="仿宋_GB2312" w:cs="仿宋_GB2312"/>
          <w:sz w:val="32"/>
          <w:szCs w:val="32"/>
        </w:rPr>
        <w:t>需</w:t>
      </w:r>
      <w:r>
        <w:rPr>
          <w:rFonts w:ascii="仿宋_GB2312" w:hAnsi="仿宋_GB2312" w:eastAsia="仿宋_GB2312" w:cs="仿宋_GB2312"/>
          <w:sz w:val="32"/>
          <w:szCs w:val="32"/>
        </w:rPr>
        <w:t>抵押</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担保</w:t>
      </w:r>
      <w:r>
        <w:rPr>
          <w:rFonts w:hint="eastAsia" w:ascii="仿宋_GB2312" w:hAnsi="仿宋_GB2312" w:eastAsia="仿宋_GB2312" w:cs="仿宋_GB2312"/>
          <w:sz w:val="32"/>
          <w:szCs w:val="32"/>
        </w:rPr>
        <w:t>，5个工作</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内即可</w:t>
      </w:r>
      <w:r>
        <w:rPr>
          <w:rFonts w:ascii="仿宋_GB2312" w:hAnsi="仿宋_GB2312" w:eastAsia="仿宋_GB2312" w:cs="仿宋_GB2312"/>
          <w:sz w:val="32"/>
          <w:szCs w:val="32"/>
        </w:rPr>
        <w:t>完成审批。</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二、阳光e抵贷</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（一）产品简介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综合考虑企业经营情况、抵押物质量、企业或企业法定代表人信用状况等信息，为优质文化企业提供的在线融资产品。</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（二）服务对象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武汉市内持续经营1年以上，能提供足值、有效市内住宅作为抵押物的文化企业。</w:t>
      </w:r>
    </w:p>
    <w:p>
      <w:pPr>
        <w:numPr>
          <w:ilvl w:val="0"/>
          <w:numId w:val="1"/>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贷款额度</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单户授信金额最高不超过500万元</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楷体_GB2312" w:cs="仿宋_GB2312"/>
          <w:sz w:val="32"/>
          <w:szCs w:val="32"/>
        </w:rPr>
      </w:pPr>
      <w:r>
        <w:rPr>
          <w:rFonts w:hint="eastAsia" w:ascii="楷体_GB2312" w:hAnsi="楷体_GB2312" w:eastAsia="楷体_GB2312" w:cs="楷体_GB2312"/>
          <w:sz w:val="32"/>
          <w:szCs w:val="32"/>
        </w:rPr>
        <w:t>（四）产品特色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1.可在线申请，自主提款；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2.授信有效期3年，单笔贷款期限最长18个月，可在借据有效期内循环使用。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三、“新型政银担”融资担保产品</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（一）产品简介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省政府指定湖北省再担保集团牵头，在担保公司、省再担保、银行进行风险分担的新合作模式下，对符合规定的文化企业提供的融资担保产品，分为442新型政银担（简称“442”）和4321新型政银担（简称“4321”）。</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（二）服务对象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“442”服务对象为省内除武汉市外，持续经营1年以上的文化企业；“4321”服务对象是武汉市内持续经营1年以上的文化企业。</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（三）贷款额度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单户授信金额不超过1000万元</w:t>
      </w:r>
    </w:p>
    <w:p>
      <w:pPr>
        <w:spacing w:line="560" w:lineRule="exact"/>
        <w:ind w:firstLine="640" w:firstLineChars="200"/>
        <w:rPr>
          <w:rFonts w:eastAsia="楷体_GB2312"/>
        </w:rPr>
      </w:pPr>
      <w:r>
        <w:rPr>
          <w:rFonts w:hint="eastAsia" w:ascii="楷体_GB2312" w:hAnsi="楷体_GB2312" w:eastAsia="楷体_GB2312" w:cs="楷体_GB2312"/>
          <w:sz w:val="32"/>
          <w:szCs w:val="32"/>
        </w:rPr>
        <w:t>（四）产品特色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1.反担保灵活：突破传统固定资产抵押反担保方式，接受订单管控、应收账款质押、股权质押、专利质押等反担保方式；</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2.费率低：担保费率不高于1%。</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四、科保贷</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（一）产品简介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以科技型企业保证保险贷款风险补偿资金、贷款保证保险为增信手段，为轻资产、无抵押科技型文化企业提供的纯信用贷款产品。</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（二）服务对象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武汉市内持续经营1年以上，经武汉市科技局认定的科技型企业。</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（三）贷款额度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单户最高不超过500万元，同时也可采用“科保贷+其他担保方式”提高授信额度。</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（四）产品特色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纯信用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无抵押</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融资成本低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2.可</w:t>
      </w:r>
      <w:r>
        <w:rPr>
          <w:rFonts w:ascii="仿宋_GB2312" w:hAnsi="仿宋_GB2312" w:eastAsia="仿宋_GB2312" w:cs="仿宋_GB2312"/>
          <w:sz w:val="32"/>
          <w:szCs w:val="32"/>
        </w:rPr>
        <w:t>按</w:t>
      </w:r>
      <w:r>
        <w:rPr>
          <w:rFonts w:hint="eastAsia" w:ascii="仿宋_GB2312" w:hAnsi="仿宋_GB2312" w:eastAsia="仿宋_GB2312" w:cs="仿宋_GB2312"/>
          <w:sz w:val="32"/>
          <w:szCs w:val="32"/>
        </w:rPr>
        <w:t>武汉</w:t>
      </w:r>
      <w:r>
        <w:rPr>
          <w:rFonts w:ascii="仿宋_GB2312" w:hAnsi="仿宋_GB2312" w:eastAsia="仿宋_GB2312" w:cs="仿宋_GB2312"/>
          <w:sz w:val="32"/>
          <w:szCs w:val="32"/>
        </w:rPr>
        <w:t>市科技局相关政策，享受贷款利息补贴和保费补贴。</w:t>
      </w:r>
    </w:p>
    <w:p>
      <w:pPr>
        <w:numPr>
          <w:ilvl w:val="0"/>
          <w:numId w:val="2"/>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文化高新贷</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（一）产品简介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为具备一定经营规模、研发投入稳定的文化类高新技术企业提供的综合授信产品。</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（二）服务对象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省内满足以下条件的文化企业可申请：</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获得《国家高新技术企业证书》，申请贷款时认证有效期到期日在1个月（含）以上；</w:t>
      </w:r>
    </w:p>
    <w:p>
      <w:pPr>
        <w:numPr>
          <w:ilvl w:val="0"/>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2.上年度（或近12月）纳税报表反映收入在1000万（含）以上，净利润为正；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3.已授信银行家数不超过2家，企业资产负债率原则上不超过60％；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4.近两年纳税报表附表或经审计的财务报告反映的研发费用未出现超过20％的下滑。</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（三）贷款额度</w:t>
      </w:r>
    </w:p>
    <w:p>
      <w:pPr>
        <w:spacing w:line="560" w:lineRule="exact"/>
        <w:ind w:firstLine="640" w:firstLineChars="200"/>
        <w:rPr>
          <w:rFonts w:ascii="楷体_GB2312" w:hAnsi="楷体_GB2312" w:eastAsia="仿宋_GB2312" w:cs="楷体_GB2312"/>
          <w:sz w:val="32"/>
          <w:szCs w:val="32"/>
        </w:rPr>
      </w:pPr>
      <w:r>
        <w:rPr>
          <w:rFonts w:hint="eastAsia" w:ascii="仿宋_GB2312" w:hAnsi="仿宋_GB2312" w:eastAsia="仿宋_GB2312" w:cs="仿宋_GB2312"/>
          <w:sz w:val="32"/>
          <w:szCs w:val="32"/>
        </w:rPr>
        <w:t>准信用最高500万，增信提额最高1500万，抵押组合最高3000万。</w:t>
      </w:r>
    </w:p>
    <w:p>
      <w:pPr>
        <w:spacing w:line="560" w:lineRule="exact"/>
        <w:ind w:firstLine="640" w:firstLineChars="200"/>
        <w:rPr>
          <w:rFonts w:ascii="仿宋_GB2312" w:hAnsi="仿宋_GB2312" w:eastAsia="楷体_GB2312" w:cs="仿宋_GB2312"/>
          <w:sz w:val="32"/>
          <w:szCs w:val="32"/>
        </w:rPr>
      </w:pPr>
      <w:r>
        <w:rPr>
          <w:rFonts w:hint="eastAsia" w:ascii="楷体_GB2312" w:hAnsi="楷体_GB2312" w:eastAsia="楷体_GB2312" w:cs="楷体_GB2312"/>
          <w:sz w:val="32"/>
          <w:szCs w:val="32"/>
        </w:rPr>
        <w:t>（四）产品特色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1.担保多样：个人或组合增信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2.用款便捷：500万以内自主支付</w:t>
      </w:r>
    </w:p>
    <w:p>
      <w:pPr>
        <w:rPr>
          <w:rFonts w:ascii="仿宋_GB2312" w:hAnsi="仿宋_GB2312" w:eastAsia="仿宋_GB2312" w:cs="仿宋_GB2312"/>
          <w:sz w:val="32"/>
          <w:szCs w:val="32"/>
        </w:rPr>
      </w:pPr>
      <w:bookmarkStart w:id="0" w:name="_GoBack"/>
      <w:bookmarkEnd w:id="0"/>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B24D8"/>
    <w:multiLevelType w:val="singleLevel"/>
    <w:tmpl w:val="8A8B24D8"/>
    <w:lvl w:ilvl="0" w:tentative="0">
      <w:start w:val="3"/>
      <w:numFmt w:val="chineseCounting"/>
      <w:suff w:val="nothing"/>
      <w:lvlText w:val="（%1）"/>
      <w:lvlJc w:val="left"/>
      <w:rPr>
        <w:rFonts w:hint="eastAsia"/>
      </w:rPr>
    </w:lvl>
  </w:abstractNum>
  <w:abstractNum w:abstractNumId="1">
    <w:nsid w:val="58CE3000"/>
    <w:multiLevelType w:val="singleLevel"/>
    <w:tmpl w:val="58CE300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6113"/>
    <w:rsid w:val="00387E37"/>
    <w:rsid w:val="00510DF6"/>
    <w:rsid w:val="0089389D"/>
    <w:rsid w:val="008A544C"/>
    <w:rsid w:val="009A34CC"/>
    <w:rsid w:val="00A443F2"/>
    <w:rsid w:val="00AA6113"/>
    <w:rsid w:val="00B64AA3"/>
    <w:rsid w:val="00CE654D"/>
    <w:rsid w:val="01E305D9"/>
    <w:rsid w:val="02BF68F3"/>
    <w:rsid w:val="061D6AE7"/>
    <w:rsid w:val="06C23655"/>
    <w:rsid w:val="098D7EA9"/>
    <w:rsid w:val="0E6F18E5"/>
    <w:rsid w:val="0EB54411"/>
    <w:rsid w:val="131319FC"/>
    <w:rsid w:val="15107E20"/>
    <w:rsid w:val="1BF4430C"/>
    <w:rsid w:val="1F2FD0B1"/>
    <w:rsid w:val="1FD17998"/>
    <w:rsid w:val="1FF5075E"/>
    <w:rsid w:val="20E727DA"/>
    <w:rsid w:val="213E3E56"/>
    <w:rsid w:val="21C1021A"/>
    <w:rsid w:val="22442AD9"/>
    <w:rsid w:val="233254A4"/>
    <w:rsid w:val="25226BA7"/>
    <w:rsid w:val="260F58CA"/>
    <w:rsid w:val="285D5391"/>
    <w:rsid w:val="2A2D53E4"/>
    <w:rsid w:val="30462454"/>
    <w:rsid w:val="3909051F"/>
    <w:rsid w:val="39C515DC"/>
    <w:rsid w:val="3A280099"/>
    <w:rsid w:val="3C564A9A"/>
    <w:rsid w:val="3FB224BC"/>
    <w:rsid w:val="45E42CBD"/>
    <w:rsid w:val="484771BA"/>
    <w:rsid w:val="48BF56D8"/>
    <w:rsid w:val="48D80F05"/>
    <w:rsid w:val="4BBF2D2D"/>
    <w:rsid w:val="510F5A43"/>
    <w:rsid w:val="58B90C54"/>
    <w:rsid w:val="5D7A13CB"/>
    <w:rsid w:val="5D8D0F71"/>
    <w:rsid w:val="62484F34"/>
    <w:rsid w:val="62EC4CE4"/>
    <w:rsid w:val="637D145C"/>
    <w:rsid w:val="638F6E90"/>
    <w:rsid w:val="64813B32"/>
    <w:rsid w:val="65AC3382"/>
    <w:rsid w:val="66050128"/>
    <w:rsid w:val="67B3B2EB"/>
    <w:rsid w:val="6D644798"/>
    <w:rsid w:val="6FFD1B35"/>
    <w:rsid w:val="7494312E"/>
    <w:rsid w:val="75567DAE"/>
    <w:rsid w:val="79920FA1"/>
    <w:rsid w:val="7B19097E"/>
    <w:rsid w:val="7C94183C"/>
    <w:rsid w:val="7DFB4EEA"/>
    <w:rsid w:val="B7FFEBFB"/>
    <w:rsid w:val="FBFBB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360"/>
      <w:outlineLvl w:val="1"/>
    </w:pPr>
    <w:rPr>
      <w:kern w:val="30"/>
      <w:sz w:val="30"/>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uiPriority w:val="0"/>
    <w:rPr>
      <w:color w:val="0000FF"/>
      <w:u w:val="single"/>
    </w:rPr>
  </w:style>
  <w:style w:type="character" w:customStyle="1" w:styleId="11">
    <w:name w:val="font31"/>
    <w:basedOn w:val="8"/>
    <w:qFormat/>
    <w:uiPriority w:val="0"/>
    <w:rPr>
      <w:rFonts w:hint="eastAsia" w:ascii="宋体" w:hAnsi="宋体" w:eastAsia="宋体" w:cs="宋体"/>
      <w:b/>
      <w:color w:val="000000"/>
      <w:sz w:val="44"/>
      <w:szCs w:val="44"/>
      <w:u w:val="none"/>
    </w:rPr>
  </w:style>
  <w:style w:type="character" w:customStyle="1" w:styleId="12">
    <w:name w:val="font11"/>
    <w:basedOn w:val="8"/>
    <w:qFormat/>
    <w:uiPriority w:val="0"/>
    <w:rPr>
      <w:rFonts w:hint="eastAsia" w:ascii="宋体" w:hAnsi="宋体" w:eastAsia="宋体" w:cs="宋体"/>
      <w:b/>
      <w:color w:val="000000"/>
      <w:sz w:val="28"/>
      <w:szCs w:val="28"/>
      <w:u w:val="none"/>
    </w:rPr>
  </w:style>
  <w:style w:type="character" w:customStyle="1" w:styleId="13">
    <w:name w:val="font21"/>
    <w:basedOn w:val="8"/>
    <w:qFormat/>
    <w:uiPriority w:val="0"/>
    <w:rPr>
      <w:rFonts w:hint="eastAsia" w:ascii="宋体" w:hAnsi="宋体" w:eastAsia="宋体" w:cs="宋体"/>
      <w:b/>
      <w:color w:val="000000"/>
      <w:sz w:val="18"/>
      <w:szCs w:val="18"/>
      <w:u w:val="none"/>
    </w:rPr>
  </w:style>
  <w:style w:type="character" w:customStyle="1" w:styleId="14">
    <w:name w:val="font01"/>
    <w:basedOn w:val="8"/>
    <w:qFormat/>
    <w:uiPriority w:val="0"/>
    <w:rPr>
      <w:rFonts w:hint="eastAsia" w:ascii="宋体" w:hAnsi="宋体" w:eastAsia="宋体" w:cs="宋体"/>
      <w:color w:val="000000"/>
      <w:sz w:val="28"/>
      <w:szCs w:val="28"/>
      <w:u w:val="single"/>
    </w:rPr>
  </w:style>
  <w:style w:type="character" w:customStyle="1" w:styleId="15">
    <w:name w:val="font101"/>
    <w:basedOn w:val="8"/>
    <w:qFormat/>
    <w:uiPriority w:val="0"/>
    <w:rPr>
      <w:rFonts w:hint="eastAsia" w:ascii="宋体" w:hAnsi="宋体" w:eastAsia="宋体" w:cs="宋体"/>
      <w:b/>
      <w:color w:val="000000"/>
      <w:sz w:val="28"/>
      <w:szCs w:val="28"/>
      <w:u w:val="single"/>
    </w:rPr>
  </w:style>
  <w:style w:type="character" w:customStyle="1" w:styleId="16">
    <w:name w:val="页眉 Char"/>
    <w:basedOn w:val="8"/>
    <w:link w:val="4"/>
    <w:qFormat/>
    <w:uiPriority w:val="0"/>
    <w:rPr>
      <w:kern w:val="2"/>
      <w:sz w:val="18"/>
      <w:szCs w:val="18"/>
    </w:rPr>
  </w:style>
  <w:style w:type="character" w:customStyle="1" w:styleId="17">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432</Words>
  <Characters>2467</Characters>
  <Lines>20</Lines>
  <Paragraphs>5</Paragraphs>
  <TotalTime>21</TotalTime>
  <ScaleCrop>false</ScaleCrop>
  <LinksUpToDate>false</LinksUpToDate>
  <CharactersWithSpaces>2894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cp:lastPrinted>2021-03-11T09:01:00Z</cp:lastPrinted>
  <dcterms:modified xsi:type="dcterms:W3CDTF">2021-03-12T02:00:36Z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SaveFontToCloudKey">
    <vt:lpwstr>211814396_btnclosed</vt:lpwstr>
  </property>
</Properties>
</file>